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08" w:rsidRPr="00385481" w:rsidRDefault="00C51508" w:rsidP="00C51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481">
        <w:rPr>
          <w:rFonts w:ascii="Times New Roman" w:hAnsi="Times New Roman" w:cs="Times New Roman"/>
          <w:b/>
          <w:sz w:val="24"/>
          <w:szCs w:val="24"/>
        </w:rPr>
        <w:t>Ан</w:t>
      </w:r>
      <w:r w:rsidR="00385481">
        <w:rPr>
          <w:rFonts w:ascii="Times New Roman" w:hAnsi="Times New Roman" w:cs="Times New Roman"/>
          <w:b/>
          <w:sz w:val="24"/>
          <w:szCs w:val="24"/>
        </w:rPr>
        <w:t>н</w:t>
      </w:r>
      <w:r w:rsidRPr="00385481">
        <w:rPr>
          <w:rFonts w:ascii="Times New Roman" w:hAnsi="Times New Roman" w:cs="Times New Roman"/>
          <w:b/>
          <w:sz w:val="24"/>
          <w:szCs w:val="24"/>
        </w:rPr>
        <w:t>отация к рабочей программе по 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C51508" w:rsidTr="00C51508">
        <w:tc>
          <w:tcPr>
            <w:tcW w:w="3227" w:type="dxa"/>
          </w:tcPr>
          <w:p w:rsidR="00C51508" w:rsidRPr="00385481" w:rsidRDefault="00C51508" w:rsidP="00C5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344" w:type="dxa"/>
          </w:tcPr>
          <w:p w:rsidR="00C51508" w:rsidRDefault="00C51508" w:rsidP="00C5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51508" w:rsidTr="00C51508">
        <w:tc>
          <w:tcPr>
            <w:tcW w:w="3227" w:type="dxa"/>
          </w:tcPr>
          <w:p w:rsidR="00C51508" w:rsidRPr="00385481" w:rsidRDefault="00C51508" w:rsidP="00C5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344" w:type="dxa"/>
          </w:tcPr>
          <w:p w:rsidR="00C51508" w:rsidRDefault="00C51508" w:rsidP="00C5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</w:tr>
      <w:tr w:rsidR="00C51508" w:rsidTr="00C51508">
        <w:trPr>
          <w:trHeight w:val="2300"/>
        </w:trPr>
        <w:tc>
          <w:tcPr>
            <w:tcW w:w="3227" w:type="dxa"/>
          </w:tcPr>
          <w:p w:rsidR="00C51508" w:rsidRPr="00385481" w:rsidRDefault="00C51508" w:rsidP="00C5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6344" w:type="dxa"/>
          </w:tcPr>
          <w:p w:rsidR="00C51508" w:rsidRPr="003B3040" w:rsidRDefault="00C51508" w:rsidP="00C515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программа по предмету «Русский язык» составлена на основе Федерального государственного образовательного стандарта начального общего образования, авторской программы «Русский язык» </w:t>
            </w:r>
            <w:proofErr w:type="spellStart"/>
            <w:r w:rsidRPr="003B3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С.В.Иванова</w:t>
            </w:r>
            <w:proofErr w:type="spellEnd"/>
            <w:r w:rsidRPr="003B3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А.О. Евдокимова, М.И. Кузнецова, Л.В. </w:t>
            </w:r>
            <w:proofErr w:type="spellStart"/>
            <w:r w:rsidRPr="003B3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Петленко</w:t>
            </w:r>
            <w:proofErr w:type="spellEnd"/>
            <w:r w:rsidRPr="003B3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B3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В.Ю.Романова</w:t>
            </w:r>
            <w:proofErr w:type="spellEnd"/>
            <w:r w:rsidRPr="003B30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 системе учебников «Начальная школа 21 века», в соответствии с ФГОС НОО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51508" w:rsidRDefault="00C51508" w:rsidP="00C51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508" w:rsidTr="00C51508">
        <w:tc>
          <w:tcPr>
            <w:tcW w:w="3227" w:type="dxa"/>
          </w:tcPr>
          <w:p w:rsidR="00C51508" w:rsidRPr="00385481" w:rsidRDefault="00C51508" w:rsidP="00C5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  <w:tc>
          <w:tcPr>
            <w:tcW w:w="6344" w:type="dxa"/>
          </w:tcPr>
          <w:p w:rsidR="00C51508" w:rsidRDefault="00C51508" w:rsidP="00C51508">
            <w:pPr>
              <w:shd w:val="clear" w:color="auto" w:fill="FFFFFF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5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1 класс: учебник для учащихся общеобразовательных учреждений: / С.В. Иванов, А.О. Евдокимова, М.И. Кузнецова [и др.]. - 4-е изд., </w:t>
            </w:r>
            <w:proofErr w:type="spellStart"/>
            <w:r w:rsidRPr="00C5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C5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</w:t>
            </w:r>
            <w:proofErr w:type="spellStart"/>
            <w:r w:rsidRPr="00C5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C5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-Граф, 2012.</w:t>
            </w:r>
          </w:p>
          <w:p w:rsidR="00C51508" w:rsidRPr="00C51508" w:rsidRDefault="00C51508" w:rsidP="00C51508">
            <w:pPr>
              <w:shd w:val="clear" w:color="auto" w:fill="FFFFFF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5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язык. 1 класс: учебник для учащихся общеобразовательных учреждений: / С.В. Иванов, А.О. Евдокимова, М.И. Кузнецова [и др.]. - 4-е изд., </w:t>
            </w:r>
            <w:proofErr w:type="spellStart"/>
            <w:r w:rsidRPr="00C5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C5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М.: </w:t>
            </w:r>
            <w:proofErr w:type="spellStart"/>
            <w:r w:rsidRPr="00C5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C5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-Граф, 2012.</w:t>
            </w:r>
          </w:p>
        </w:tc>
      </w:tr>
      <w:tr w:rsidR="00C51508" w:rsidTr="00C51508">
        <w:tc>
          <w:tcPr>
            <w:tcW w:w="3227" w:type="dxa"/>
          </w:tcPr>
          <w:p w:rsidR="00C51508" w:rsidRPr="00385481" w:rsidRDefault="00C51508" w:rsidP="00C5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цели</w:t>
            </w:r>
          </w:p>
        </w:tc>
        <w:tc>
          <w:tcPr>
            <w:tcW w:w="6344" w:type="dxa"/>
          </w:tcPr>
          <w:p w:rsidR="00393AFE" w:rsidRPr="00590924" w:rsidRDefault="00C51508" w:rsidP="00393AFE">
            <w:pPr>
              <w:tabs>
                <w:tab w:val="left" w:pos="13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93AF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393AFE" w:rsidRPr="00590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 учащихся начальной школы познавательную мотивацию к изучению </w:t>
            </w:r>
            <w:proofErr w:type="spellStart"/>
            <w:r w:rsidR="00393AFE" w:rsidRPr="00590924">
              <w:rPr>
                <w:rFonts w:ascii="Times New Roman" w:eastAsia="Calibri" w:hAnsi="Times New Roman" w:cs="Times New Roman"/>
                <w:sz w:val="24"/>
                <w:szCs w:val="24"/>
              </w:rPr>
              <w:t>руссского</w:t>
            </w:r>
            <w:proofErr w:type="spellEnd"/>
            <w:r w:rsidR="00393AFE" w:rsidRPr="00590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языка, которая выражается в осознанном стремлении научиться использовать языковые средства для успешного решения  коммуникативных задач и познакомиться с основами научного описания родного языка </w:t>
            </w:r>
          </w:p>
          <w:p w:rsidR="00393AFE" w:rsidRPr="00590924" w:rsidRDefault="00393AFE" w:rsidP="00393AFE">
            <w:pPr>
              <w:tabs>
                <w:tab w:val="left" w:pos="13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Предметные цели изучения русского языка</w:t>
            </w:r>
            <w:proofErr w:type="gramStart"/>
            <w:r w:rsidRPr="00590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90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3AFE" w:rsidRPr="00590924" w:rsidRDefault="00393AFE" w:rsidP="00393AFE">
            <w:pPr>
              <w:tabs>
                <w:tab w:val="left" w:pos="13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9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социокультурная цель</w:t>
            </w:r>
            <w:r w:rsidRPr="00590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изучения русского языка  решением задач развития устной и письменной речи учащихся и формирования у них основ грамотного, безошибочного письма;</w:t>
            </w:r>
          </w:p>
          <w:p w:rsidR="00C51508" w:rsidRPr="00393AFE" w:rsidRDefault="00393AFE" w:rsidP="00393AFE">
            <w:pPr>
              <w:tabs>
                <w:tab w:val="left" w:pos="138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909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научно-исследовательская</w:t>
            </w:r>
            <w:r w:rsidRPr="00590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(познавательная) цель реализуется в процессе ознакомления учащихся с основными положениями науки о языке.</w:t>
            </w:r>
          </w:p>
        </w:tc>
      </w:tr>
      <w:tr w:rsidR="00C51508" w:rsidTr="00C51508">
        <w:tc>
          <w:tcPr>
            <w:tcW w:w="3227" w:type="dxa"/>
          </w:tcPr>
          <w:p w:rsidR="00C51508" w:rsidRPr="00385481" w:rsidRDefault="00393AFE" w:rsidP="00C5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 программы, часы</w:t>
            </w:r>
          </w:p>
        </w:tc>
        <w:tc>
          <w:tcPr>
            <w:tcW w:w="6344" w:type="dxa"/>
          </w:tcPr>
          <w:p w:rsidR="00385481" w:rsidRPr="00385481" w:rsidRDefault="00385481" w:rsidP="00393AFE">
            <w:pPr>
              <w:widowControl w:val="0"/>
              <w:tabs>
                <w:tab w:val="left" w:pos="8145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54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  <w:p w:rsidR="00393AFE" w:rsidRPr="00393AFE" w:rsidRDefault="00393AFE" w:rsidP="00393AFE">
            <w:pPr>
              <w:widowControl w:val="0"/>
              <w:tabs>
                <w:tab w:val="left" w:pos="8145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Обучение грамоте </w:t>
            </w:r>
            <w:r w:rsidRPr="00393A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 ч.</w:t>
            </w:r>
          </w:p>
          <w:p w:rsidR="00393AFE" w:rsidRPr="00393AFE" w:rsidRDefault="00393AFE" w:rsidP="003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AFE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393AFE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12 ч.</w:t>
            </w:r>
          </w:p>
          <w:p w:rsidR="00C51508" w:rsidRDefault="00393AFE" w:rsidP="003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FE">
              <w:rPr>
                <w:rFonts w:ascii="Times New Roman" w:hAnsi="Times New Roman" w:cs="Times New Roman"/>
                <w:sz w:val="24"/>
                <w:szCs w:val="24"/>
              </w:rPr>
              <w:t>Букварный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44 ч.</w:t>
            </w:r>
          </w:p>
          <w:p w:rsidR="00393AFE" w:rsidRDefault="00393AFE" w:rsidP="003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81"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Pr="00385481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385481" w:rsidRPr="00385481">
              <w:rPr>
                <w:rFonts w:ascii="Times New Roman" w:hAnsi="Times New Roman" w:cs="Times New Roman"/>
                <w:sz w:val="24"/>
                <w:szCs w:val="24"/>
              </w:rPr>
              <w:t xml:space="preserve"> – 76 ч.</w:t>
            </w:r>
          </w:p>
          <w:p w:rsidR="00385481" w:rsidRPr="00385481" w:rsidRDefault="00385481" w:rsidP="00393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385481" w:rsidRPr="00385481" w:rsidRDefault="00385481" w:rsidP="0038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 - </w:t>
            </w:r>
            <w:r>
              <w:t xml:space="preserve"> </w:t>
            </w:r>
            <w:r w:rsidRPr="003854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385481" w:rsidRPr="00385481" w:rsidRDefault="00385481" w:rsidP="0038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 ч.</w:t>
            </w:r>
          </w:p>
          <w:p w:rsidR="00385481" w:rsidRPr="00385481" w:rsidRDefault="00385481" w:rsidP="0038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 ч.</w:t>
            </w:r>
          </w:p>
          <w:p w:rsidR="00385481" w:rsidRPr="00385481" w:rsidRDefault="00385481" w:rsidP="0038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sz w:val="24"/>
                <w:szCs w:val="24"/>
              </w:rPr>
              <w:t>Синтаксис (члены предложения)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 ч.</w:t>
            </w:r>
          </w:p>
          <w:p w:rsidR="00385481" w:rsidRPr="00385481" w:rsidRDefault="00385481" w:rsidP="0038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Части речи – 33 ч.</w:t>
            </w:r>
          </w:p>
          <w:p w:rsidR="00385481" w:rsidRPr="00385481" w:rsidRDefault="00385481" w:rsidP="0038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57 ч.</w:t>
            </w:r>
          </w:p>
          <w:p w:rsidR="00385481" w:rsidRPr="00385481" w:rsidRDefault="00385481" w:rsidP="00385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ч.</w:t>
            </w:r>
          </w:p>
        </w:tc>
      </w:tr>
      <w:tr w:rsidR="00C51508" w:rsidTr="00C51508">
        <w:tc>
          <w:tcPr>
            <w:tcW w:w="3227" w:type="dxa"/>
          </w:tcPr>
          <w:p w:rsidR="00C51508" w:rsidRPr="00385481" w:rsidRDefault="00393AFE" w:rsidP="00C5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6344" w:type="dxa"/>
          </w:tcPr>
          <w:p w:rsidR="00393AFE" w:rsidRPr="00590924" w:rsidRDefault="00393AFE" w:rsidP="00393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924">
              <w:rPr>
                <w:rFonts w:ascii="Times New Roman" w:eastAsia="Calibri" w:hAnsi="Times New Roman" w:cs="Times New Roman"/>
                <w:sz w:val="24"/>
                <w:szCs w:val="24"/>
              </w:rPr>
              <w:t>«Русск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 язык» в 1 классе в объёме 132</w:t>
            </w:r>
            <w:r w:rsidRPr="00590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 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 (33  учебные недели  по  4  часов  в  неделю).</w:t>
            </w:r>
            <w:r w:rsidRPr="005909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51508" w:rsidRDefault="00393AFE" w:rsidP="003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 в 3 классе в объеме 136 часов в год (по 4 часа в неделю)</w:t>
            </w:r>
          </w:p>
        </w:tc>
      </w:tr>
      <w:tr w:rsidR="00385481" w:rsidTr="00C51508">
        <w:tc>
          <w:tcPr>
            <w:tcW w:w="3227" w:type="dxa"/>
          </w:tcPr>
          <w:p w:rsidR="00385481" w:rsidRPr="00385481" w:rsidRDefault="00385481" w:rsidP="00C5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6344" w:type="dxa"/>
          </w:tcPr>
          <w:p w:rsidR="00385481" w:rsidRPr="00590924" w:rsidRDefault="00385481" w:rsidP="00393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текущий, тематический, итоговый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(промежуточная аттестация)</w:t>
            </w:r>
          </w:p>
        </w:tc>
      </w:tr>
      <w:tr w:rsidR="00385481" w:rsidTr="00C51508">
        <w:tc>
          <w:tcPr>
            <w:tcW w:w="3227" w:type="dxa"/>
          </w:tcPr>
          <w:p w:rsidR="00385481" w:rsidRPr="00385481" w:rsidRDefault="00385481" w:rsidP="00C515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4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Формы текущего контроля</w:t>
            </w:r>
          </w:p>
        </w:tc>
        <w:tc>
          <w:tcPr>
            <w:tcW w:w="6344" w:type="dxa"/>
          </w:tcPr>
          <w:p w:rsidR="00385481" w:rsidRDefault="00385481" w:rsidP="00393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опрос, контрольная работа, контрольное списывание</w:t>
            </w:r>
          </w:p>
        </w:tc>
      </w:tr>
    </w:tbl>
    <w:p w:rsidR="00C51508" w:rsidRPr="00C51508" w:rsidRDefault="00C51508" w:rsidP="00C51508">
      <w:pPr>
        <w:rPr>
          <w:rFonts w:ascii="Times New Roman" w:hAnsi="Times New Roman" w:cs="Times New Roman"/>
          <w:sz w:val="24"/>
          <w:szCs w:val="24"/>
        </w:rPr>
      </w:pPr>
    </w:p>
    <w:p w:rsidR="00C51508" w:rsidRDefault="00C51508" w:rsidP="00C51508">
      <w:bookmarkStart w:id="0" w:name="_GoBack"/>
      <w:bookmarkEnd w:id="0"/>
    </w:p>
    <w:sectPr w:rsidR="00C5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16B5"/>
    <w:multiLevelType w:val="multilevel"/>
    <w:tmpl w:val="5106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85DE4"/>
    <w:multiLevelType w:val="multilevel"/>
    <w:tmpl w:val="8ADC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79"/>
    <w:rsid w:val="00081D79"/>
    <w:rsid w:val="00385481"/>
    <w:rsid w:val="00393AFE"/>
    <w:rsid w:val="00AC03F5"/>
    <w:rsid w:val="00C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5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2021-09-08T07:43:00Z</dcterms:created>
  <dcterms:modified xsi:type="dcterms:W3CDTF">2021-09-08T08:12:00Z</dcterms:modified>
</cp:coreProperties>
</file>